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AE59" w14:textId="57BE147C" w:rsidR="00512330" w:rsidRDefault="00C74252" w:rsidP="006D0D45">
      <w:pPr>
        <w:pStyle w:val="Szvegtrzs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252">
        <w:rPr>
          <w:rFonts w:ascii="Times New Roman" w:hAnsi="Times New Roman" w:cs="Times New Roman"/>
          <w:b/>
          <w:bCs/>
          <w:sz w:val="24"/>
          <w:szCs w:val="24"/>
        </w:rPr>
        <w:t xml:space="preserve">Adatvédelmi tájékoztató </w:t>
      </w:r>
    </w:p>
    <w:p w14:paraId="3224AAB8" w14:textId="7AF4DB40" w:rsidR="006D0D45" w:rsidRDefault="006D0D45" w:rsidP="006D0D45">
      <w:pPr>
        <w:pStyle w:val="Szvegtrzs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Fejér Megyei Önkormányzat</w:t>
      </w:r>
    </w:p>
    <w:p w14:paraId="666248B7" w14:textId="78560EAD" w:rsidR="00620868" w:rsidRPr="00C74252" w:rsidRDefault="00512330" w:rsidP="006D0D45">
      <w:pPr>
        <w:pStyle w:val="Szvegtrzs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bírósági ülnökválasztással kapcsolatos adatkezelés</w:t>
      </w:r>
      <w:r w:rsidR="00B45E21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ről</w:t>
      </w:r>
    </w:p>
    <w:p w14:paraId="638C91AF" w14:textId="77777777" w:rsidR="00620868" w:rsidRPr="00C74252" w:rsidRDefault="00C74252">
      <w:pPr>
        <w:pStyle w:val="Cmsor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40" w:lineRule="auto"/>
        <w:rPr>
          <w:rFonts w:ascii="Times New Roman" w:hAnsi="Times New Roman" w:cs="Times New Roman"/>
        </w:rPr>
      </w:pPr>
      <w:bookmarkStart w:id="0" w:name="bookmark0"/>
      <w:bookmarkStart w:id="1" w:name="bookmark1"/>
      <w:r>
        <w:rPr>
          <w:rFonts w:ascii="Times New Roman" w:hAnsi="Times New Roman" w:cs="Times New Roman"/>
        </w:rPr>
        <w:t>A</w:t>
      </w:r>
      <w:r w:rsidRPr="00C74252">
        <w:rPr>
          <w:rFonts w:ascii="Times New Roman" w:hAnsi="Times New Roman" w:cs="Times New Roman"/>
        </w:rPr>
        <w:t>z adatkezelő adatai:</w:t>
      </w:r>
      <w:bookmarkEnd w:id="0"/>
      <w:bookmarkEnd w:id="1"/>
    </w:p>
    <w:p w14:paraId="22BDD46C" w14:textId="77777777" w:rsidR="00620868" w:rsidRPr="00C74252" w:rsidRDefault="00C74252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378"/>
        </w:tabs>
        <w:spacing w:after="0" w:line="240" w:lineRule="auto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  <w:b/>
          <w:bCs/>
          <w:sz w:val="24"/>
          <w:szCs w:val="24"/>
        </w:rPr>
        <w:t>Név</w:t>
      </w:r>
      <w:r w:rsidRPr="00C74252">
        <w:rPr>
          <w:rFonts w:ascii="Times New Roman" w:hAnsi="Times New Roman" w:cs="Times New Roman"/>
        </w:rPr>
        <w:t>:</w:t>
      </w:r>
      <w:r w:rsidRPr="00C74252">
        <w:rPr>
          <w:rFonts w:ascii="Times New Roman" w:hAnsi="Times New Roman" w:cs="Times New Roman"/>
        </w:rPr>
        <w:tab/>
      </w:r>
      <w:r w:rsidR="00C25783">
        <w:rPr>
          <w:rFonts w:ascii="Times New Roman" w:hAnsi="Times New Roman" w:cs="Times New Roman"/>
        </w:rPr>
        <w:t>Fejér Megyei Önkormányzat</w:t>
      </w:r>
    </w:p>
    <w:p w14:paraId="678AF1A6" w14:textId="77777777" w:rsidR="00620868" w:rsidRPr="00C74252" w:rsidRDefault="00C74252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378"/>
        </w:tabs>
        <w:spacing w:after="0" w:line="233" w:lineRule="auto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 w:rsidRPr="00C74252">
        <w:rPr>
          <w:rFonts w:ascii="Times New Roman" w:hAnsi="Times New Roman" w:cs="Times New Roman"/>
        </w:rPr>
        <w:t>:</w:t>
      </w:r>
      <w:r w:rsidRPr="00C74252">
        <w:rPr>
          <w:rFonts w:ascii="Times New Roman" w:hAnsi="Times New Roman" w:cs="Times New Roman"/>
        </w:rPr>
        <w:tab/>
      </w:r>
      <w:r w:rsidR="00C25783">
        <w:rPr>
          <w:rFonts w:ascii="Times New Roman" w:hAnsi="Times New Roman" w:cs="Times New Roman"/>
        </w:rPr>
        <w:t>8000 Székesfehérvár, Szent István tér 9.</w:t>
      </w:r>
    </w:p>
    <w:p w14:paraId="586552E8" w14:textId="77777777" w:rsidR="00620868" w:rsidRDefault="00C74252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  <w:b/>
          <w:bCs/>
          <w:sz w:val="24"/>
          <w:szCs w:val="24"/>
        </w:rPr>
        <w:t>Képviseletre jogosult neve</w:t>
      </w:r>
      <w:r w:rsidRPr="00C74252">
        <w:rPr>
          <w:rFonts w:ascii="Times New Roman" w:hAnsi="Times New Roman" w:cs="Times New Roman"/>
        </w:rPr>
        <w:t xml:space="preserve">: </w:t>
      </w:r>
      <w:r w:rsidR="00C25783">
        <w:rPr>
          <w:rFonts w:ascii="Times New Roman" w:hAnsi="Times New Roman" w:cs="Times New Roman"/>
        </w:rPr>
        <w:t>Dr. Molnár Krisztián</w:t>
      </w:r>
    </w:p>
    <w:p w14:paraId="422A73CF" w14:textId="77777777" w:rsidR="00C25783" w:rsidRPr="00C74252" w:rsidRDefault="00C25783">
      <w:pPr>
        <w:pStyle w:val="Szvegtrz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Adatvédelmi tisztviselő elérhetősége: </w:t>
      </w:r>
      <w:hyperlink r:id="rId8" w:history="1">
        <w:r w:rsidRPr="007A5126">
          <w:rPr>
            <w:rStyle w:val="Hiperhivatkozs"/>
            <w:rFonts w:ascii="Times New Roman" w:hAnsi="Times New Roman" w:cs="Times New Roman"/>
          </w:rPr>
          <w:t>fejer@fejer.hu</w:t>
        </w:r>
      </w:hyperlink>
      <w:r>
        <w:rPr>
          <w:rFonts w:ascii="Times New Roman" w:hAnsi="Times New Roman" w:cs="Times New Roman"/>
        </w:rPr>
        <w:t>, Székesfehérvár, Szent István tér 9.</w:t>
      </w:r>
    </w:p>
    <w:p w14:paraId="71A9AAC2" w14:textId="77777777" w:rsidR="00C25783" w:rsidRDefault="00C25783" w:rsidP="00C74252">
      <w:pPr>
        <w:pStyle w:val="Szvegtrzs1"/>
        <w:shd w:val="clear" w:color="auto" w:fill="auto"/>
        <w:spacing w:after="0" w:line="262" w:lineRule="auto"/>
        <w:jc w:val="both"/>
        <w:rPr>
          <w:rFonts w:ascii="Times New Roman" w:hAnsi="Times New Roman" w:cs="Times New Roman"/>
        </w:rPr>
      </w:pPr>
    </w:p>
    <w:p w14:paraId="0A675BEA" w14:textId="5104382F" w:rsidR="00C25783" w:rsidRDefault="00C74252" w:rsidP="00C25783">
      <w:pPr>
        <w:pStyle w:val="Szvegtrzs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C25783">
        <w:rPr>
          <w:rFonts w:ascii="Times New Roman" w:hAnsi="Times New Roman" w:cs="Times New Roman"/>
        </w:rPr>
        <w:t xml:space="preserve">A </w:t>
      </w:r>
      <w:r w:rsidR="00C25783" w:rsidRPr="00C25783">
        <w:rPr>
          <w:rFonts w:ascii="Times New Roman" w:hAnsi="Times New Roman" w:cs="Times New Roman"/>
        </w:rPr>
        <w:t xml:space="preserve">Fejér Megyei Önkormányzat </w:t>
      </w:r>
      <w:r w:rsidRPr="00C25783">
        <w:rPr>
          <w:rFonts w:ascii="Times New Roman" w:hAnsi="Times New Roman" w:cs="Times New Roman"/>
        </w:rPr>
        <w:t xml:space="preserve">(a továbbiakban: Adatkezelő) adatkezelőként kezeli az </w:t>
      </w:r>
      <w:r w:rsidR="00512330">
        <w:rPr>
          <w:rFonts w:ascii="Times New Roman" w:hAnsi="Times New Roman" w:cs="Times New Roman"/>
        </w:rPr>
        <w:t>bírósági ülnökválasztással összefüggésben az ülnökjelölt és a jelölő adatait (továbbiakban: Érintett).</w:t>
      </w:r>
    </w:p>
    <w:p w14:paraId="29EC393E" w14:textId="77777777" w:rsidR="0088635A" w:rsidRDefault="0088635A" w:rsidP="00C25783">
      <w:pPr>
        <w:pStyle w:val="Szvegtrzs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14:paraId="6E9A90FC" w14:textId="5BF24070" w:rsidR="00512330" w:rsidRDefault="00F954AC" w:rsidP="00C25783">
      <w:pPr>
        <w:pStyle w:val="Szvegtrzs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bírák</w:t>
      </w:r>
      <w:proofErr w:type="spellEnd"/>
      <w:r>
        <w:rPr>
          <w:rFonts w:ascii="Times New Roman" w:hAnsi="Times New Roman" w:cs="Times New Roman"/>
        </w:rPr>
        <w:t xml:space="preserve"> jogállásáról és javadalmazásáról szóló 2011. évi CLXII. törvény 212-215. §-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és a Büntetőeljárásról szóló 2017. évi</w:t>
      </w:r>
      <w:r w:rsidR="005755F3">
        <w:rPr>
          <w:rFonts w:ascii="Times New Roman" w:hAnsi="Times New Roman" w:cs="Times New Roman"/>
        </w:rPr>
        <w:t xml:space="preserve"> XC </w:t>
      </w:r>
      <w:proofErr w:type="gramStart"/>
      <w:r w:rsidR="005755F3">
        <w:rPr>
          <w:rFonts w:ascii="Times New Roman" w:hAnsi="Times New Roman" w:cs="Times New Roman"/>
        </w:rPr>
        <w:t xml:space="preserve">törvény </w:t>
      </w:r>
      <w:r>
        <w:rPr>
          <w:rFonts w:ascii="Times New Roman" w:hAnsi="Times New Roman" w:cs="Times New Roman"/>
        </w:rPr>
        <w:t xml:space="preserve"> 6</w:t>
      </w:r>
      <w:r w:rsidR="005755F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§ (5) bekezdése meghatározza, hogy</w:t>
      </w:r>
      <w:r w:rsidR="00AD3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bírósági ülnök jelöltnek mely törvényi feltételeknek kell megfelelnie ahhoz, hogy a Fejér Megyei Közgyűlés megválaszthassa ülnöknek. Az adatkezelés az adatkezelő közhatalmi tevékenysége keretében végzett feladatána</w:t>
      </w:r>
      <w:r w:rsidR="00AD38B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végrehajtásához szükséges</w:t>
      </w:r>
      <w:r w:rsidR="00AD38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r w:rsidRPr="00C74252">
        <w:rPr>
          <w:rFonts w:ascii="Times New Roman" w:hAnsi="Times New Roman" w:cs="Times New Roman"/>
        </w:rPr>
        <w:t>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</w:t>
      </w:r>
      <w:r w:rsidR="0088635A">
        <w:rPr>
          <w:rFonts w:ascii="Times New Roman" w:hAnsi="Times New Roman" w:cs="Times New Roman"/>
        </w:rPr>
        <w:t xml:space="preserve"> </w:t>
      </w:r>
      <w:r w:rsidR="00AD38B7">
        <w:rPr>
          <w:rFonts w:ascii="Times New Roman" w:hAnsi="Times New Roman" w:cs="Times New Roman"/>
        </w:rPr>
        <w:t>(továbbiakban: Rendelet) 6. cikk (1) bekezdés e) pontján alapulva, figyelemmel a Rendelet 9. cikk (2)  bekezdés g) pontjában, valamint  a rendelet 10. cikkében foglaltakra is. Az adatszolgáltatás kötelező, ennek hiányában nem tehető javaslat a megválaszta</w:t>
      </w:r>
      <w:r w:rsidR="005755F3">
        <w:rPr>
          <w:rFonts w:ascii="Times New Roman" w:hAnsi="Times New Roman" w:cs="Times New Roman"/>
        </w:rPr>
        <w:t>ndó bírósági ülnök személyére.</w:t>
      </w:r>
    </w:p>
    <w:p w14:paraId="3FC90945" w14:textId="77777777" w:rsidR="005755F3" w:rsidRDefault="005755F3" w:rsidP="00C25783">
      <w:pPr>
        <w:pStyle w:val="Szvegtrzs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14:paraId="3A3DE671" w14:textId="77777777" w:rsidR="00620868" w:rsidRPr="00C74252" w:rsidRDefault="00C74252" w:rsidP="00C25783">
      <w:pPr>
        <w:pStyle w:val="Szvegtrzs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Jelen dokumentum célja, hogy tájékoztatást adjon a személyes adatok kezeléséről és a személyes adatokhoz fűződő jogokról.</w:t>
      </w:r>
    </w:p>
    <w:p w14:paraId="696E1C1D" w14:textId="77777777" w:rsidR="00512330" w:rsidRDefault="00512330" w:rsidP="00C74252">
      <w:pPr>
        <w:pStyle w:val="Szvegtrzs1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p w14:paraId="73BE4CFF" w14:textId="29135608" w:rsidR="00620868" w:rsidRPr="00C74252" w:rsidRDefault="005755F3" w:rsidP="00C74252">
      <w:pPr>
        <w:pStyle w:val="Szvegtrzs1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4</w:t>
      </w:r>
      <w:r w:rsidR="00C74252" w:rsidRPr="00C74252">
        <w:rPr>
          <w:rFonts w:ascii="Times New Roman" w:hAnsi="Times New Roman" w:cs="Times New Roman"/>
        </w:rPr>
        <w:t>. cikke alapján a jelen tájékoztatóban használt fogalmak meghatározása a következő:</w:t>
      </w:r>
    </w:p>
    <w:p w14:paraId="669CCB92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52"/>
        </w:tabs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„személyes adat”: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14:paraId="283A8079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52"/>
        </w:tabs>
        <w:spacing w:line="257" w:lineRule="auto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„adatkezelés”: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14:paraId="675F7307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52"/>
        </w:tabs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„adatkezelő”: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14:paraId="53CCC1E9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„adatfeldolgozó”: az a természetes vagy jogi személy, közhatalmi szerv, ügynökség vagy bármely egyéb szerv, amely az adatkezelő nevében személyes adatokat kezel;</w:t>
      </w:r>
    </w:p>
    <w:p w14:paraId="7137F6D6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52"/>
        </w:tabs>
        <w:spacing w:after="100" w:line="254" w:lineRule="auto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 xml:space="preserve">„címzett”: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</w:t>
      </w:r>
      <w:r w:rsidRPr="00C74252">
        <w:rPr>
          <w:rFonts w:ascii="Times New Roman" w:hAnsi="Times New Roman" w:cs="Times New Roman"/>
        </w:rPr>
        <w:lastRenderedPageBreak/>
        <w:t>említett adatok e közhatalmi szervek általi kezelése meg kell, hogy feleljen az adatkezelés céljainak megfelelően az alkalmazandó adatvédelmi szabályoknak;</w:t>
      </w:r>
    </w:p>
    <w:p w14:paraId="0B055EDD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42"/>
        </w:tabs>
        <w:spacing w:after="100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„harmadik fél”: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kaptak;</w:t>
      </w:r>
    </w:p>
    <w:p w14:paraId="68150625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42"/>
        </w:tabs>
        <w:spacing w:after="100" w:line="257" w:lineRule="auto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„az érintett hozzájárulása”: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</w:t>
      </w:r>
    </w:p>
    <w:p w14:paraId="0999ACAF" w14:textId="77777777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42"/>
        </w:tabs>
        <w:spacing w:after="240" w:line="240" w:lineRule="auto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„felügyeleti hatóság”: egy tagállam által az 51. cikknek megfelelően létrehozott független közhatalmi szerv.</w:t>
      </w:r>
    </w:p>
    <w:p w14:paraId="678276FC" w14:textId="77777777" w:rsidR="00620868" w:rsidRPr="00C74252" w:rsidRDefault="00C74252">
      <w:pPr>
        <w:pStyle w:val="Cmsor10"/>
        <w:keepNext/>
        <w:keepLines/>
        <w:shd w:val="clear" w:color="auto" w:fill="auto"/>
        <w:spacing w:after="240" w:line="240" w:lineRule="auto"/>
        <w:rPr>
          <w:rFonts w:ascii="Times New Roman" w:hAnsi="Times New Roman" w:cs="Times New Roman"/>
        </w:rPr>
      </w:pPr>
      <w:bookmarkStart w:id="2" w:name="bookmark2"/>
      <w:bookmarkStart w:id="3" w:name="bookmark3"/>
      <w:r w:rsidRPr="00C74252">
        <w:rPr>
          <w:rFonts w:ascii="Times New Roman" w:hAnsi="Times New Roman" w:cs="Times New Roman"/>
        </w:rPr>
        <w:t>A személyes adatok kezelésének jogi háttere</w:t>
      </w:r>
      <w:bookmarkEnd w:id="2"/>
      <w:bookmarkEnd w:id="3"/>
    </w:p>
    <w:p w14:paraId="131B9158" w14:textId="77777777" w:rsidR="00620868" w:rsidRPr="00C74252" w:rsidRDefault="00C74252">
      <w:pPr>
        <w:pStyle w:val="Szvegtrzs1"/>
        <w:shd w:val="clear" w:color="auto" w:fill="auto"/>
        <w:spacing w:after="100" w:line="264" w:lineRule="auto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Az Adatkezelő által végzett adatkezelés során különösen az alábbi jogszabályok az irányadók:</w:t>
      </w:r>
    </w:p>
    <w:p w14:paraId="23A390BF" w14:textId="6EDBF768" w:rsidR="00620868" w:rsidRPr="00C74252" w:rsidRDefault="00C74252">
      <w:pPr>
        <w:pStyle w:val="Szvegtrzs1"/>
        <w:numPr>
          <w:ilvl w:val="0"/>
          <w:numId w:val="1"/>
        </w:numPr>
        <w:shd w:val="clear" w:color="auto" w:fill="auto"/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rendelet hatályon kívül helyezéséről szóló, 2016. április 27-i (EU) 2016/679 európai parlamenti és tanácsi rendelet (</w:t>
      </w:r>
      <w:r w:rsidR="005755F3">
        <w:rPr>
          <w:rFonts w:ascii="Times New Roman" w:hAnsi="Times New Roman" w:cs="Times New Roman"/>
        </w:rPr>
        <w:t>Rendelet)</w:t>
      </w:r>
    </w:p>
    <w:p w14:paraId="54F4B691" w14:textId="77777777" w:rsidR="00620868" w:rsidRPr="00C74252" w:rsidRDefault="00C74252" w:rsidP="005755F3">
      <w:pPr>
        <w:pStyle w:val="Szvegtrzs1"/>
        <w:numPr>
          <w:ilvl w:val="0"/>
          <w:numId w:val="1"/>
        </w:numPr>
        <w:shd w:val="clear" w:color="auto" w:fill="auto"/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 w:rsidRPr="00C74252">
        <w:rPr>
          <w:rFonts w:ascii="Times New Roman" w:hAnsi="Times New Roman" w:cs="Times New Roman"/>
        </w:rPr>
        <w:t xml:space="preserve">az információs önrendelkezési jogról és az információszabadságról szóló 2011. évi CXII. törvény (a továbbiakban: </w:t>
      </w:r>
      <w:proofErr w:type="spellStart"/>
      <w:r w:rsidRPr="00C74252">
        <w:rPr>
          <w:rFonts w:ascii="Times New Roman" w:hAnsi="Times New Roman" w:cs="Times New Roman"/>
        </w:rPr>
        <w:t>Infotv</w:t>
      </w:r>
      <w:proofErr w:type="spellEnd"/>
      <w:r w:rsidRPr="00C74252">
        <w:rPr>
          <w:rFonts w:ascii="Times New Roman" w:hAnsi="Times New Roman" w:cs="Times New Roman"/>
        </w:rPr>
        <w:t>.)</w:t>
      </w:r>
    </w:p>
    <w:p w14:paraId="2F734E76" w14:textId="77777777" w:rsidR="005755F3" w:rsidRDefault="005755F3" w:rsidP="005755F3">
      <w:pPr>
        <w:pStyle w:val="Szvegtrzs1"/>
        <w:numPr>
          <w:ilvl w:val="0"/>
          <w:numId w:val="1"/>
        </w:numPr>
        <w:shd w:val="clear" w:color="auto" w:fill="auto"/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bírák</w:t>
      </w:r>
      <w:proofErr w:type="spellEnd"/>
      <w:r>
        <w:rPr>
          <w:rFonts w:ascii="Times New Roman" w:hAnsi="Times New Roman" w:cs="Times New Roman"/>
        </w:rPr>
        <w:t xml:space="preserve"> jogállásáról és javadalmazásáról szóló 2011. évi CLXII. törvény</w:t>
      </w:r>
    </w:p>
    <w:p w14:paraId="4B0CC7F2" w14:textId="4D787E45" w:rsidR="00071907" w:rsidRDefault="005755F3" w:rsidP="005755F3">
      <w:pPr>
        <w:pStyle w:val="Szvegtrzs1"/>
        <w:numPr>
          <w:ilvl w:val="0"/>
          <w:numId w:val="1"/>
        </w:numPr>
        <w:shd w:val="clear" w:color="auto" w:fill="auto"/>
        <w:tabs>
          <w:tab w:val="left" w:pos="742"/>
        </w:tabs>
        <w:spacing w:after="0"/>
        <w:ind w:left="7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Büntetőeljárásról szóló 2017. évi XC törvény  </w:t>
      </w:r>
    </w:p>
    <w:p w14:paraId="2E265669" w14:textId="77777777" w:rsidR="005755F3" w:rsidRDefault="005755F3" w:rsidP="00071907">
      <w:pPr>
        <w:pStyle w:val="Szvegtrzs1"/>
        <w:shd w:val="clear" w:color="auto" w:fill="auto"/>
        <w:tabs>
          <w:tab w:val="left" w:pos="742"/>
        </w:tabs>
        <w:spacing w:after="240" w:line="257" w:lineRule="auto"/>
        <w:jc w:val="both"/>
        <w:rPr>
          <w:rFonts w:ascii="Times New Roman" w:hAnsi="Times New Roman" w:cs="Times New Roman"/>
        </w:rPr>
      </w:pPr>
    </w:p>
    <w:p w14:paraId="589561F7" w14:textId="77777777" w:rsidR="00620868" w:rsidRPr="00071907" w:rsidRDefault="00620868" w:rsidP="00071907">
      <w:pPr>
        <w:pStyle w:val="Szvegtrzs1"/>
        <w:shd w:val="clear" w:color="auto" w:fill="auto"/>
        <w:tabs>
          <w:tab w:val="left" w:pos="742"/>
        </w:tabs>
        <w:spacing w:after="240" w:line="257" w:lineRule="auto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6715"/>
      </w:tblGrid>
      <w:tr w:rsidR="00620868" w:rsidRPr="00C74252" w14:paraId="672CE873" w14:textId="77777777">
        <w:trPr>
          <w:trHeight w:hRule="exact" w:val="67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722C" w14:textId="66755A47" w:rsidR="00620868" w:rsidRPr="00C74252" w:rsidRDefault="00620868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5C3FF" w14:textId="0FCDD51C" w:rsidR="00620868" w:rsidRPr="00C74252" w:rsidRDefault="00620868" w:rsidP="00071907">
            <w:pPr>
              <w:pStyle w:val="Egyb0"/>
              <w:shd w:val="clear" w:color="auto" w:fill="auto"/>
              <w:spacing w:after="0" w:line="262" w:lineRule="auto"/>
              <w:rPr>
                <w:rFonts w:ascii="Times New Roman" w:hAnsi="Times New Roman" w:cs="Times New Roman"/>
              </w:rPr>
            </w:pPr>
          </w:p>
        </w:tc>
      </w:tr>
      <w:tr w:rsidR="00620868" w:rsidRPr="00C74252" w14:paraId="66D78E6B" w14:textId="77777777" w:rsidTr="00071907">
        <w:trPr>
          <w:trHeight w:hRule="exact" w:val="54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E6350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Kezelt adatok köre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BE3E" w14:textId="449FFD76" w:rsidR="00620868" w:rsidRPr="00C74252" w:rsidRDefault="00C74252">
            <w:pPr>
              <w:pStyle w:val="Egyb0"/>
              <w:shd w:val="clear" w:color="auto" w:fill="auto"/>
              <w:spacing w:after="100" w:line="262" w:lineRule="auto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 xml:space="preserve">A </w:t>
            </w:r>
            <w:r w:rsidR="00BD25A9">
              <w:rPr>
                <w:rFonts w:ascii="Times New Roman" w:hAnsi="Times New Roman" w:cs="Times New Roman"/>
              </w:rPr>
              <w:t>jelölt adatai:</w:t>
            </w:r>
          </w:p>
          <w:p w14:paraId="1B53239F" w14:textId="77777777" w:rsidR="00620868" w:rsidRPr="00C74252" w:rsidRDefault="00071907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5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  <w:p w14:paraId="5F8A4F18" w14:textId="77777777" w:rsidR="00620868" w:rsidRPr="00C74252" w:rsidRDefault="00C74252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születési hely, idő</w:t>
            </w:r>
          </w:p>
          <w:p w14:paraId="58093EBC" w14:textId="6286C058" w:rsidR="00620868" w:rsidRDefault="00C74252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5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anyja neve</w:t>
            </w:r>
          </w:p>
          <w:p w14:paraId="668DCEFA" w14:textId="3A28F119" w:rsidR="00BD25A9" w:rsidRPr="00C74252" w:rsidRDefault="00BD25A9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5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</w:t>
            </w:r>
          </w:p>
          <w:p w14:paraId="75B8852A" w14:textId="4FB611FD" w:rsidR="00620868" w:rsidRDefault="00C74252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5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munkahely</w:t>
            </w:r>
          </w:p>
          <w:p w14:paraId="16DD02CF" w14:textId="0F4DB8D3" w:rsidR="00BD25A9" w:rsidRPr="00C74252" w:rsidRDefault="00BD25A9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5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iskolai végzettség, szakképzettség, foglalkozás</w:t>
            </w:r>
          </w:p>
          <w:p w14:paraId="42D9986A" w14:textId="070C61D0" w:rsidR="00620868" w:rsidRDefault="00C74252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beosztás</w:t>
            </w:r>
          </w:p>
          <w:p w14:paraId="01112D20" w14:textId="371E584D" w:rsidR="00B45E21" w:rsidRPr="00C74252" w:rsidRDefault="00B45E21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 hónapra járó távolélti díjának összege</w:t>
            </w:r>
          </w:p>
          <w:p w14:paraId="30B8F399" w14:textId="03E3B18A" w:rsidR="00620868" w:rsidRPr="00C74252" w:rsidRDefault="00C74252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 xml:space="preserve">cím, </w:t>
            </w:r>
            <w:r w:rsidR="00BD25A9">
              <w:rPr>
                <w:rFonts w:ascii="Times New Roman" w:hAnsi="Times New Roman" w:cs="Times New Roman"/>
              </w:rPr>
              <w:t xml:space="preserve">email cím, </w:t>
            </w:r>
            <w:r w:rsidRPr="00C74252">
              <w:rPr>
                <w:rFonts w:ascii="Times New Roman" w:hAnsi="Times New Roman" w:cs="Times New Roman"/>
              </w:rPr>
              <w:t>telefonszám</w:t>
            </w:r>
          </w:p>
          <w:p w14:paraId="1EFB30AC" w14:textId="2E424F75" w:rsidR="00620868" w:rsidRPr="00C74252" w:rsidRDefault="00BD25A9" w:rsidP="00BD25A9">
            <w:pPr>
              <w:pStyle w:val="Egyb0"/>
              <w:shd w:val="clear" w:color="auto" w:fill="auto"/>
              <w:spacing w:after="100" w:line="26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jelölő adatai:</w:t>
            </w:r>
          </w:p>
          <w:p w14:paraId="2586EA56" w14:textId="77777777" w:rsidR="00620868" w:rsidRPr="00C74252" w:rsidRDefault="00C74252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5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név</w:t>
            </w:r>
            <w:r w:rsidR="00071907">
              <w:rPr>
                <w:rFonts w:ascii="Times New Roman" w:hAnsi="Times New Roman" w:cs="Times New Roman"/>
              </w:rPr>
              <w:t xml:space="preserve"> </w:t>
            </w:r>
          </w:p>
          <w:p w14:paraId="04830DEB" w14:textId="77777777" w:rsidR="00BD25A9" w:rsidRPr="00C74252" w:rsidRDefault="00BD25A9" w:rsidP="00BD25A9">
            <w:pPr>
              <w:pStyle w:val="Egyb0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after="100" w:line="240" w:lineRule="auto"/>
              <w:ind w:firstLine="440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 xml:space="preserve">cím, </w:t>
            </w:r>
            <w:r>
              <w:rPr>
                <w:rFonts w:ascii="Times New Roman" w:hAnsi="Times New Roman" w:cs="Times New Roman"/>
              </w:rPr>
              <w:t xml:space="preserve">email cím, </w:t>
            </w:r>
            <w:r w:rsidRPr="00C74252">
              <w:rPr>
                <w:rFonts w:ascii="Times New Roman" w:hAnsi="Times New Roman" w:cs="Times New Roman"/>
              </w:rPr>
              <w:t>telefonszám</w:t>
            </w:r>
          </w:p>
          <w:p w14:paraId="6B66EE79" w14:textId="0EAD202E" w:rsidR="00BD25A9" w:rsidRPr="00C74252" w:rsidRDefault="00BD25A9" w:rsidP="00BD25A9">
            <w:pPr>
              <w:pStyle w:val="Egyb0"/>
              <w:shd w:val="clear" w:color="auto" w:fill="auto"/>
              <w:tabs>
                <w:tab w:val="left" w:pos="805"/>
              </w:tabs>
              <w:spacing w:after="100"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személyes adatokat az érintett</w:t>
            </w:r>
            <w:r w:rsidR="003006D5">
              <w:rPr>
                <w:rFonts w:ascii="Times New Roman" w:hAnsi="Times New Roman" w:cs="Times New Roman"/>
              </w:rPr>
              <w:t>ől vagy a jelölőtől kapjuk meg. A megválasztott ülnökről névjegyzék készül, valamint megbízólevél kerül átadásra.</w:t>
            </w:r>
          </w:p>
        </w:tc>
      </w:tr>
    </w:tbl>
    <w:p w14:paraId="767F7F73" w14:textId="7852958A" w:rsidR="00620868" w:rsidRPr="00C74252" w:rsidRDefault="00C74252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C74252">
        <w:rPr>
          <w:rFonts w:ascii="Times New Roman" w:hAnsi="Times New Roman" w:cs="Times New Roman"/>
        </w:rPr>
        <w:br w:type="page"/>
      </w:r>
      <w:r w:rsidR="008A0E55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6715"/>
      </w:tblGrid>
      <w:tr w:rsidR="00620868" w:rsidRPr="00C74252" w14:paraId="6BCEF967" w14:textId="77777777" w:rsidTr="003006D5">
        <w:trPr>
          <w:trHeight w:hRule="exact" w:val="86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96427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Adatkezelés célja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3EBEE" w14:textId="271C62F0" w:rsidR="00620868" w:rsidRPr="00C74252" w:rsidRDefault="003006D5">
            <w:pPr>
              <w:pStyle w:val="Egyb0"/>
              <w:shd w:val="clear" w:color="auto" w:fill="auto"/>
              <w:spacing w:after="0" w:line="26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C74252" w:rsidRPr="00C74252">
              <w:rPr>
                <w:rFonts w:ascii="Times New Roman" w:hAnsi="Times New Roman" w:cs="Times New Roman"/>
              </w:rPr>
              <w:t xml:space="preserve">jelölési és választási, eljárás lefolytatása, </w:t>
            </w:r>
            <w:r>
              <w:rPr>
                <w:rFonts w:ascii="Times New Roman" w:hAnsi="Times New Roman" w:cs="Times New Roman"/>
              </w:rPr>
              <w:t xml:space="preserve">a törvényi feltételnek való megfelelés ellenőrzése, beazonosítás, megbízólevél </w:t>
            </w:r>
            <w:r w:rsidR="00C74252" w:rsidRPr="00C74252">
              <w:rPr>
                <w:rFonts w:ascii="Times New Roman" w:hAnsi="Times New Roman" w:cs="Times New Roman"/>
              </w:rPr>
              <w:t>átadása</w:t>
            </w:r>
            <w:r w:rsidR="00B754DF">
              <w:rPr>
                <w:rFonts w:ascii="Times New Roman" w:hAnsi="Times New Roman" w:cs="Times New Roman"/>
              </w:rPr>
              <w:t>, nyilvántartás</w:t>
            </w:r>
            <w:r>
              <w:rPr>
                <w:rFonts w:ascii="Times New Roman" w:hAnsi="Times New Roman" w:cs="Times New Roman"/>
              </w:rPr>
              <w:t xml:space="preserve"> vezetése</w:t>
            </w:r>
            <w:r w:rsidR="00B754DF">
              <w:rPr>
                <w:rFonts w:ascii="Times New Roman" w:hAnsi="Times New Roman" w:cs="Times New Roman"/>
              </w:rPr>
              <w:t xml:space="preserve"> vezetése</w:t>
            </w:r>
            <w:r w:rsidR="00BD25A9">
              <w:rPr>
                <w:rFonts w:ascii="Times New Roman" w:hAnsi="Times New Roman" w:cs="Times New Roman"/>
              </w:rPr>
              <w:t>, kapcsolattartás,</w:t>
            </w:r>
          </w:p>
        </w:tc>
      </w:tr>
      <w:tr w:rsidR="00620868" w:rsidRPr="00C74252" w14:paraId="0590C2CA" w14:textId="77777777">
        <w:trPr>
          <w:trHeight w:hRule="exact" w:val="340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2CC7D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Adatkezelés jogalapja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BE326" w14:textId="77777777" w:rsidR="00620868" w:rsidRPr="00C74252" w:rsidRDefault="00C74252">
            <w:pPr>
              <w:pStyle w:val="Egyb0"/>
              <w:shd w:val="clear" w:color="auto" w:fill="auto"/>
              <w:spacing w:after="180" w:line="302" w:lineRule="auto"/>
              <w:jc w:val="both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GDPR 6. cikk (1) bekezdés e) pont, vagyis az adatkezelés az Adatkezelőre ruházott közérdekű vagy közhatalmi jogosítvány gyakorlásának keretében végzett feladat végrehajtásához szükséges.</w:t>
            </w:r>
          </w:p>
          <w:p w14:paraId="54361FDD" w14:textId="77777777" w:rsidR="00620868" w:rsidRPr="00C74252" w:rsidRDefault="00C74252">
            <w:pPr>
              <w:pStyle w:val="Egyb0"/>
              <w:shd w:val="clear" w:color="auto" w:fill="auto"/>
              <w:spacing w:after="180" w:line="302" w:lineRule="auto"/>
              <w:jc w:val="both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Ez a jogalap magába olvasztja a GDPR 6. cikk (1) bekezdés a) pontja szerinti, az érintett személyes adatainak egy vagy több konkrét célból történő kezeléséhez adott hozzájárulása jogalapot.</w:t>
            </w:r>
          </w:p>
          <w:p w14:paraId="3B71532D" w14:textId="33DB1E10" w:rsidR="00620868" w:rsidRPr="00C74252" w:rsidRDefault="00620868" w:rsidP="00071907">
            <w:pPr>
              <w:pStyle w:val="Egyb0"/>
              <w:shd w:val="clear" w:color="auto" w:fill="auto"/>
              <w:spacing w:after="180" w:line="30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868" w:rsidRPr="00C74252" w14:paraId="7A3D8144" w14:textId="77777777" w:rsidTr="005570BB">
        <w:trPr>
          <w:trHeight w:hRule="exact" w:val="146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D5FE7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Adatkezelés időtartama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4F450" w14:textId="14BF9245" w:rsidR="00620868" w:rsidRPr="00C74252" w:rsidRDefault="00C74252" w:rsidP="005570BB">
            <w:pPr>
              <w:pStyle w:val="Egyb0"/>
              <w:shd w:val="clear" w:color="auto" w:fill="auto"/>
              <w:spacing w:after="0" w:line="262" w:lineRule="auto"/>
              <w:jc w:val="both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jelölt és jelölője adatai</w:t>
            </w:r>
            <w:r w:rsidR="005570BB">
              <w:rPr>
                <w:rFonts w:ascii="Times New Roman" w:hAnsi="Times New Roman" w:cs="Times New Roman"/>
              </w:rPr>
              <w:t xml:space="preserve"> tekintetében az </w:t>
            </w:r>
            <w:r w:rsidR="003006D5">
              <w:rPr>
                <w:rFonts w:ascii="Times New Roman" w:hAnsi="Times New Roman" w:cs="Times New Roman"/>
              </w:rPr>
              <w:t>adatok</w:t>
            </w:r>
            <w:r w:rsidR="00383D64">
              <w:rPr>
                <w:rFonts w:ascii="Times New Roman" w:hAnsi="Times New Roman" w:cs="Times New Roman"/>
              </w:rPr>
              <w:t xml:space="preserve"> őrzésére az iratok </w:t>
            </w:r>
            <w:proofErr w:type="gramStart"/>
            <w:r w:rsidR="00383D64">
              <w:rPr>
                <w:rFonts w:ascii="Times New Roman" w:hAnsi="Times New Roman" w:cs="Times New Roman"/>
              </w:rPr>
              <w:t xml:space="preserve">selejtezésére </w:t>
            </w:r>
            <w:r w:rsidR="003006D5">
              <w:rPr>
                <w:rFonts w:ascii="Times New Roman" w:hAnsi="Times New Roman" w:cs="Times New Roman"/>
              </w:rPr>
              <w:t xml:space="preserve"> az</w:t>
            </w:r>
            <w:proofErr w:type="gramEnd"/>
            <w:r w:rsidR="003006D5">
              <w:rPr>
                <w:rFonts w:ascii="Times New Roman" w:hAnsi="Times New Roman" w:cs="Times New Roman"/>
              </w:rPr>
              <w:t xml:space="preserve"> </w:t>
            </w:r>
            <w:r w:rsidR="005570BB">
              <w:rPr>
                <w:rFonts w:ascii="Times New Roman" w:hAnsi="Times New Roman" w:cs="Times New Roman"/>
              </w:rPr>
              <w:t>Önkormányzati hivatalok egységes irattári tervének kiadásáról szóló 78/2012. (XII.28.) BM rendelet szabályaira figyelemmel</w:t>
            </w:r>
            <w:r w:rsidRPr="00C74252">
              <w:rPr>
                <w:rFonts w:ascii="Times New Roman" w:hAnsi="Times New Roman" w:cs="Times New Roman"/>
              </w:rPr>
              <w:t xml:space="preserve"> </w:t>
            </w:r>
            <w:r w:rsidR="00383D64">
              <w:rPr>
                <w:rFonts w:ascii="Times New Roman" w:hAnsi="Times New Roman" w:cs="Times New Roman"/>
              </w:rPr>
              <w:t>kerül sor.</w:t>
            </w:r>
            <w:r w:rsidRPr="00C742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0868" w:rsidRPr="00C74252" w14:paraId="7A239B37" w14:textId="77777777">
        <w:trPr>
          <w:trHeight w:hRule="exact" w:val="40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1699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Adattárolás módja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0C008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papíralapon és elektronikusan</w:t>
            </w:r>
          </w:p>
        </w:tc>
      </w:tr>
      <w:tr w:rsidR="00620868" w:rsidRPr="00C74252" w14:paraId="623A3D2C" w14:textId="77777777" w:rsidTr="005570BB">
        <w:trPr>
          <w:trHeight w:hRule="exact" w:val="172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828B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Adattovábbítás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AE82F" w14:textId="3FDD63D3" w:rsidR="00620868" w:rsidRPr="00C74252" w:rsidRDefault="003006D5" w:rsidP="005570BB">
            <w:pPr>
              <w:pStyle w:val="Egyb0"/>
              <w:shd w:val="clear" w:color="auto" w:fill="auto"/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közgyűlés által megválasztott ülnökök névjegyzéke, az elfogadó nyilatkozatok, megbízólevelek a Székesfehérvári Törvényszékre kerülnek </w:t>
            </w:r>
            <w:r w:rsidR="00383D64">
              <w:rPr>
                <w:rFonts w:ascii="Times New Roman" w:hAnsi="Times New Roman" w:cs="Times New Roman"/>
              </w:rPr>
              <w:t xml:space="preserve">továbbításra. </w:t>
            </w:r>
          </w:p>
        </w:tc>
      </w:tr>
      <w:tr w:rsidR="00383D64" w:rsidRPr="00C74252" w14:paraId="463BBFA1" w14:textId="77777777" w:rsidTr="005570BB">
        <w:trPr>
          <w:trHeight w:hRule="exact" w:val="172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E0931" w14:textId="05E573C8" w:rsidR="00383D64" w:rsidRPr="00C74252" w:rsidRDefault="00383D64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Adatkezelésre jogosultak köre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378BC" w14:textId="46C29029" w:rsidR="00383D64" w:rsidRDefault="00383D64" w:rsidP="005570BB">
            <w:pPr>
              <w:pStyle w:val="Egyb0"/>
              <w:shd w:val="clear" w:color="auto" w:fill="auto"/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adatok kezelését kizárólag az Adatkezelő erre felhatalmazott munkatársai végzik. A döntéshozatalban résztvevők és a felhatalmazott munkatársak jogosultak hozzáférni az adatokhoz.</w:t>
            </w:r>
          </w:p>
        </w:tc>
      </w:tr>
      <w:tr w:rsidR="00620868" w:rsidRPr="00C74252" w14:paraId="7CF4E851" w14:textId="77777777">
        <w:trPr>
          <w:trHeight w:hRule="exact" w:val="84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9A29D" w14:textId="77777777" w:rsidR="00620868" w:rsidRPr="00C74252" w:rsidRDefault="00C74252">
            <w:pPr>
              <w:pStyle w:val="Egyb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Érintetti jogok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054DF" w14:textId="5E5C9C57" w:rsidR="00620868" w:rsidRPr="00C74252" w:rsidRDefault="00C74252">
            <w:pPr>
              <w:pStyle w:val="Egyb0"/>
              <w:shd w:val="clear" w:color="auto" w:fill="auto"/>
              <w:spacing w:after="0" w:line="302" w:lineRule="auto"/>
              <w:jc w:val="both"/>
              <w:rPr>
                <w:rFonts w:ascii="Times New Roman" w:hAnsi="Times New Roman" w:cs="Times New Roman"/>
              </w:rPr>
            </w:pPr>
            <w:r w:rsidRPr="00C74252">
              <w:rPr>
                <w:rFonts w:ascii="Times New Roman" w:hAnsi="Times New Roman" w:cs="Times New Roman"/>
              </w:rPr>
              <w:t>tájékoztatáshoz, hozzáféréshez, helyesbítéshez, korlátozáshoz, tiltakozáshoz, törléshez</w:t>
            </w:r>
            <w:r w:rsidR="00B45E21">
              <w:rPr>
                <w:rFonts w:ascii="Times New Roman" w:hAnsi="Times New Roman" w:cs="Times New Roman"/>
              </w:rPr>
              <w:t xml:space="preserve"> </w:t>
            </w:r>
            <w:r w:rsidRPr="00C74252">
              <w:rPr>
                <w:rFonts w:ascii="Times New Roman" w:hAnsi="Times New Roman" w:cs="Times New Roman"/>
              </w:rPr>
              <w:t>való jog</w:t>
            </w:r>
          </w:p>
        </w:tc>
      </w:tr>
    </w:tbl>
    <w:p w14:paraId="70044216" w14:textId="3A97C4B3" w:rsidR="00C76933" w:rsidRDefault="00C76933">
      <w:pPr>
        <w:pStyle w:val="Cmsor10"/>
        <w:keepNext/>
        <w:keepLines/>
        <w:shd w:val="clear" w:color="auto" w:fill="auto"/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bookmarkStart w:id="4" w:name="bookmark4"/>
      <w:bookmarkStart w:id="5" w:name="bookmark5"/>
      <w:r>
        <w:rPr>
          <w:rFonts w:ascii="Times New Roman" w:hAnsi="Times New Roman" w:cs="Times New Roman"/>
          <w:u w:val="single"/>
        </w:rPr>
        <w:br w:type="page"/>
      </w:r>
    </w:p>
    <w:p w14:paraId="49B19A2C" w14:textId="187DED19" w:rsidR="00C76933" w:rsidRPr="00C76933" w:rsidRDefault="00C76933" w:rsidP="00C76933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C76933">
        <w:rPr>
          <w:rFonts w:ascii="Times New Roman" w:hAnsi="Times New Roman" w:cs="Times New Roman"/>
        </w:rPr>
        <w:tab/>
      </w:r>
    </w:p>
    <w:p w14:paraId="1E6C48C2" w14:textId="31FDA170" w:rsidR="00C76933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7FA708CC" w14:textId="77777777" w:rsidR="00C76933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68D48B24" w14:textId="4393F6B5" w:rsidR="00C76933" w:rsidRPr="00C76933" w:rsidRDefault="00C76933" w:rsidP="00C76933">
      <w:pPr>
        <w:jc w:val="center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>Az érintett adatkezeléssel kapcsolatos jogai</w:t>
      </w:r>
    </w:p>
    <w:p w14:paraId="19857F42" w14:textId="4609855D" w:rsidR="00C76933" w:rsidRPr="00C76933" w:rsidRDefault="00C76933" w:rsidP="00C76933">
      <w:pPr>
        <w:jc w:val="both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>Határidő</w:t>
      </w:r>
    </w:p>
    <w:p w14:paraId="6E43AC63" w14:textId="77777777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A</w:t>
      </w:r>
      <w:r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az érintett jogai gyakorlására irányuló kérelmét az annak beérkezésétől számított legfeljebb egy hónapon belül teljesíti. A kérelem beérkezésének napja a határidőbe nem számít bele. A</w:t>
      </w:r>
      <w:r>
        <w:rPr>
          <w:rFonts w:ascii="Times New Roman" w:eastAsia="Garamond" w:hAnsi="Times New Roman" w:cs="Times New Roman"/>
          <w:color w:val="auto"/>
          <w:sz w:val="22"/>
          <w:szCs w:val="22"/>
        </w:rPr>
        <w:t>z Adatkezelő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szükség esetén, figyelembe véve a kérelem bonyolultságát és a kérelmek számát, ezt a határidőt további két hónappal meghosszabbíthatja. A határidő meghosszabbításáról a</w:t>
      </w:r>
      <w:r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késedelem okainak megjelölésével a kérelem kézhezvételétől számított egy hónapon belül tájékoztatja az érintettet.</w:t>
      </w:r>
    </w:p>
    <w:p w14:paraId="7190DEB2" w14:textId="77777777" w:rsidR="002243D7" w:rsidRDefault="002243D7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424DD9C4" w14:textId="77777777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>Az adatkezeléssel kapcsolatos érintetti jogok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</w:t>
      </w:r>
    </w:p>
    <w:p w14:paraId="7F2FF5FC" w14:textId="77777777" w:rsidR="002243D7" w:rsidRDefault="002243D7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147F794B" w14:textId="795CFBAC" w:rsidR="002243D7" w:rsidRPr="006D0D45" w:rsidRDefault="00C76933" w:rsidP="00C76933">
      <w:pPr>
        <w:jc w:val="both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 xml:space="preserve">A hozzáféréshez való jog </w:t>
      </w:r>
    </w:p>
    <w:p w14:paraId="124BEB93" w14:textId="77777777" w:rsidR="002243D7" w:rsidRDefault="002243D7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091FFFBC" w14:textId="77777777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Az érintett jogosult arra, hogy az 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Adatkezelő által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megadott elérhetőségeken keresztül tájékoztatást kérjen arra vonatkozóan, hogy személyes adatainak kezelése folyamatban van-e, és ha ilyen adatkezelés folyamatban van, jogosult arra, hogy megismerje azt, hogy</w:t>
      </w:r>
    </w:p>
    <w:p w14:paraId="4E368AAC" w14:textId="77777777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• a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- milyen személyes adatait; - milyen jogalapon; - milyen adatkezelési cél miatt; - mennyi ideig kezeli; továbbá, hogy </w:t>
      </w:r>
    </w:p>
    <w:p w14:paraId="3D8E7432" w14:textId="77777777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• a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kinek, mikor, milyen jogszabály alapján, mely személyes adataihoz biztosított hozzáférést vagy kinek továbbította a személyes adatait; </w:t>
      </w:r>
    </w:p>
    <w:p w14:paraId="03937D50" w14:textId="77777777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• milyen forrásból származnak a személyes adatai; </w:t>
      </w:r>
    </w:p>
    <w:p w14:paraId="51273C7B" w14:textId="77777777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• a 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alkalmaz-e automatizált döntéshozatalt, valamint annak logikáját, ideértve a profilalkotást is. </w:t>
      </w:r>
    </w:p>
    <w:p w14:paraId="080596F5" w14:textId="4643B58B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A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az adatkezelés tárgyát képező személyes adatok másolatát az érintett erre irányuló kérésére első alkalommal díjmentesen bocsátja a rendelkezésére, ezt követően adminisztratív költségeken alapuló, ésszerű mértékű díjat számíthat fel. Az adatbiztonsági követelmények teljesülése és az érintett jogainak védelme érdekében a Hatóság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 </w:t>
      </w:r>
    </w:p>
    <w:p w14:paraId="39CB2077" w14:textId="77777777" w:rsidR="002243D7" w:rsidRDefault="002243D7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3B426C17" w14:textId="77777777" w:rsidR="002243D7" w:rsidRPr="006D0D45" w:rsidRDefault="00C76933" w:rsidP="00C76933">
      <w:pPr>
        <w:jc w:val="both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 xml:space="preserve">A helyesbítéshez való jog </w:t>
      </w:r>
    </w:p>
    <w:p w14:paraId="7EBAC863" w14:textId="77777777" w:rsidR="002243D7" w:rsidRDefault="002243D7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48B36A9A" w14:textId="26DC99BD" w:rsidR="002243D7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Az érintett személy az</w:t>
      </w:r>
      <w:r w:rsidR="002243D7"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Adatkezelő által </w:t>
      </w:r>
      <w:r w:rsidR="002243D7"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megadott elérhetőségeken</w:t>
      </w:r>
      <w:r w:rsidR="002243D7"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keresztül kérheti, hogy a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</w:t>
      </w:r>
      <w:proofErr w:type="spellStart"/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>Aadatkezelő</w:t>
      </w:r>
      <w:proofErr w:type="spellEnd"/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módosítsa valamely személyes adatát. Amennyiben az érintett hitelt érdemlően igazolni tudja a helyesbített adat pontosságát, a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>z Adatkezelő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a kérést legfeljebb egy hónapon belül teljesíti, és erről az általa megadott elérhetőségen értesíti az érintett személyt. </w:t>
      </w:r>
    </w:p>
    <w:p w14:paraId="3360B086" w14:textId="77777777" w:rsidR="002243D7" w:rsidRDefault="002243D7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60D41664" w14:textId="77777777" w:rsidR="002243D7" w:rsidRPr="006D0D45" w:rsidRDefault="00C76933" w:rsidP="00C76933">
      <w:pPr>
        <w:jc w:val="both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 xml:space="preserve">A zároláshoz (adatkezelés korlátozásához) való jog </w:t>
      </w:r>
    </w:p>
    <w:p w14:paraId="1B807E3E" w14:textId="77777777" w:rsidR="002243D7" w:rsidRDefault="002243D7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1652E18D" w14:textId="77777777" w:rsidR="00FD3AB4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Az érintett személy </w:t>
      </w:r>
      <w:r w:rsidR="002243D7"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az 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Adatkezelő által </w:t>
      </w:r>
      <w:r w:rsidR="002243D7"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megadott elérhetőségeken</w:t>
      </w:r>
      <w:r w:rsidR="002243D7"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keresztül kérheti, hogy a személyes adatai kezelését 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az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korlátozza (az adatkezelés korlátozott jellegének egyértelmű jelölésével és az egyéb adatoktól elkülönített kezelés biztosításával) amennyiben </w:t>
      </w:r>
    </w:p>
    <w:p w14:paraId="158BCA00" w14:textId="77777777" w:rsidR="00FD3AB4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- vitatja a személyes adatai pontosságát (ebben az esetben a</w:t>
      </w:r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</w:t>
      </w:r>
      <w:proofErr w:type="spellStart"/>
      <w:r w:rsidR="002243D7">
        <w:rPr>
          <w:rFonts w:ascii="Times New Roman" w:eastAsia="Garamond" w:hAnsi="Times New Roman" w:cs="Times New Roman"/>
          <w:color w:val="auto"/>
          <w:sz w:val="22"/>
          <w:szCs w:val="22"/>
        </w:rPr>
        <w:t>Aadatkezelő</w:t>
      </w:r>
      <w:proofErr w:type="spellEnd"/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arra az időtartamra korlátozza az adatkezelést, amíg ellenőrzi a személyes adatok pontosságát); </w:t>
      </w:r>
    </w:p>
    <w:p w14:paraId="26401A59" w14:textId="77777777" w:rsidR="00FD3AB4" w:rsidRPr="00D42D4B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- az adatkezelés jogellenes, és az érintett ellenzi az adatok törlését, és ehelyett kéri azok felhasználásának korlátozását; </w:t>
      </w:r>
    </w:p>
    <w:p w14:paraId="15158800" w14:textId="77777777" w:rsidR="00FD3AB4" w:rsidRPr="007A7B4F" w:rsidRDefault="00C76933" w:rsidP="00C76933">
      <w:pPr>
        <w:jc w:val="both"/>
        <w:rPr>
          <w:rFonts w:ascii="Times New Roman" w:eastAsia="Garamond" w:hAnsi="Times New Roman" w:cs="Times New Roman"/>
          <w:color w:val="auto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- az adatkezelőnek már nincs szüksége a személyes</w:t>
      </w:r>
      <w:r w:rsidRPr="00C76933">
        <w:rPr>
          <w:rFonts w:ascii="Times New Roman" w:eastAsia="Garamond" w:hAnsi="Times New Roman" w:cs="Times New Roman"/>
          <w:color w:val="auto"/>
        </w:rPr>
        <w:t xml:space="preserve"> adatokra adatkezelés céljából, de az érintett igényli azokat jogi igények előterjesztéséhez, érvényesítéséhez vagy védelméhez; vagy </w:t>
      </w:r>
    </w:p>
    <w:p w14:paraId="42E5E0AD" w14:textId="677B0201" w:rsidR="00FD3AB4" w:rsidRPr="007A7B4F" w:rsidRDefault="00C76933" w:rsidP="00C76933">
      <w:pPr>
        <w:jc w:val="both"/>
        <w:rPr>
          <w:rFonts w:ascii="Times New Roman" w:eastAsia="Garamond" w:hAnsi="Times New Roman" w:cs="Times New Roman"/>
          <w:color w:val="auto"/>
        </w:rPr>
      </w:pPr>
      <w:r w:rsidRPr="00C76933">
        <w:rPr>
          <w:rFonts w:ascii="Times New Roman" w:eastAsia="Garamond" w:hAnsi="Times New Roman" w:cs="Times New Roman"/>
          <w:color w:val="auto"/>
        </w:rPr>
        <w:t xml:space="preserve">- az érintett tiltakozott az adatkezelés ellen (ez esetben a korlátozás arra az időtartamra vonatkozik, amíg megállapításra nem kerül, hogy az adatkezelő jogos indokai elsőbbséget élveznek-e az érintett jogos indokaival szemben). </w:t>
      </w:r>
    </w:p>
    <w:p w14:paraId="7508D6E6" w14:textId="77777777" w:rsidR="00FD3AB4" w:rsidRPr="007A7B4F" w:rsidRDefault="00FD3AB4" w:rsidP="00C76933">
      <w:pPr>
        <w:jc w:val="both"/>
        <w:rPr>
          <w:rFonts w:ascii="Times New Roman" w:eastAsia="Garamond" w:hAnsi="Times New Roman" w:cs="Times New Roman"/>
          <w:color w:val="auto"/>
        </w:rPr>
      </w:pPr>
    </w:p>
    <w:p w14:paraId="5BF32C26" w14:textId="77777777" w:rsidR="00D42D4B" w:rsidRPr="006D0D45" w:rsidRDefault="00C76933" w:rsidP="00C76933">
      <w:pPr>
        <w:jc w:val="both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 xml:space="preserve">A tiltakozáshoz való jog </w:t>
      </w:r>
    </w:p>
    <w:p w14:paraId="418B587B" w14:textId="77777777" w:rsidR="00D42D4B" w:rsidRPr="007A7B4F" w:rsidRDefault="00D42D4B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749BD40E" w14:textId="77777777" w:rsidR="007A7B4F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Az érintett személy az</w:t>
      </w:r>
      <w:r w:rsidR="007A7B4F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elérhetőségeken keresztül tiltakozhat az adatkezelés ellen, ha álláspontja szerint </w:t>
      </w:r>
      <w:r w:rsidR="007A7B4F">
        <w:rPr>
          <w:rFonts w:ascii="Times New Roman" w:eastAsia="Garamond" w:hAnsi="Times New Roman" w:cs="Times New Roman"/>
          <w:color w:val="auto"/>
          <w:sz w:val="22"/>
          <w:szCs w:val="22"/>
        </w:rPr>
        <w:t>az Adatkezelő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a személyes adatát a jelen adatkezelési tájékoztatóban megjelölt céllal összefüggésben nem megfelelően kezelné. Ebben az esetben a</w:t>
      </w:r>
      <w:r w:rsidR="007A7B4F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Adatkezelőnek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kell igazolnia, hogy a személyes adat kezelését olyan kényszerítő </w:t>
      </w:r>
      <w:proofErr w:type="spellStart"/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erejű</w:t>
      </w:r>
      <w:proofErr w:type="spellEnd"/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jogos okok indokolják, amelyek elsőbbséget élveznek az érintett érdekeivel, jogaival és szabadságaival szemben, vagy amelyek jogi igények előterjesztéséhez, érvényesítéséhez vagy védelméhez kapcsolódnak. </w:t>
      </w:r>
    </w:p>
    <w:p w14:paraId="5719DCF3" w14:textId="77777777" w:rsidR="007A7B4F" w:rsidRDefault="007A7B4F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6E6656ED" w14:textId="77777777" w:rsidR="007A7B4F" w:rsidRPr="006D0D45" w:rsidRDefault="00C76933" w:rsidP="00C76933">
      <w:pPr>
        <w:jc w:val="both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 xml:space="preserve">A törléshez való jog </w:t>
      </w:r>
    </w:p>
    <w:p w14:paraId="35643069" w14:textId="77777777" w:rsidR="00334573" w:rsidRDefault="0033457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1329EB50" w14:textId="11B4BE6A" w:rsidR="00334573" w:rsidRDefault="0033457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Az érintett személy az </w:t>
      </w:r>
      <w:r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Adatkezelő 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>elérhetősége</w:t>
      </w:r>
      <w:r>
        <w:rPr>
          <w:rFonts w:ascii="Times New Roman" w:eastAsia="Garamond" w:hAnsi="Times New Roman" w:cs="Times New Roman"/>
          <w:color w:val="auto"/>
          <w:sz w:val="22"/>
          <w:szCs w:val="22"/>
        </w:rPr>
        <w:t>in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keresztül, írásban kérheti a</w:t>
      </w:r>
      <w:r>
        <w:rPr>
          <w:rFonts w:ascii="Times New Roman" w:eastAsia="Garamond" w:hAnsi="Times New Roman" w:cs="Times New Roman"/>
          <w:color w:val="auto"/>
          <w:sz w:val="22"/>
          <w:szCs w:val="22"/>
        </w:rPr>
        <w:t>z Adatkezelőtől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</w:t>
      </w:r>
      <w:r w:rsidR="006D0D45">
        <w:rPr>
          <w:rFonts w:ascii="Times New Roman" w:eastAsia="Garamond" w:hAnsi="Times New Roman" w:cs="Times New Roman"/>
          <w:color w:val="auto"/>
          <w:sz w:val="22"/>
          <w:szCs w:val="22"/>
        </w:rPr>
        <w:t>a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>z érintett hozzájárulása alapján kezelt személyes adatainak a törlését. A törlési kérelmet a</w:t>
      </w:r>
      <w:r w:rsidR="006D0D45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>abban az esetben utasítja el, ha a</w:t>
      </w:r>
      <w:r w:rsidR="006D0D45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 személyes adatok kezelésére az érintett hozzájárulásának visszavonását követően </w:t>
      </w:r>
      <w:r w:rsidR="006D0D45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vagy a nélkül 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is rendelkezik jogalappal az adatok további tárolására, felhasználására. Ilyen eset például az, ha az </w:t>
      </w:r>
      <w:proofErr w:type="spellStart"/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>irattár</w:t>
      </w:r>
      <w:r w:rsidR="006D0D45">
        <w:rPr>
          <w:rFonts w:ascii="Times New Roman" w:eastAsia="Garamond" w:hAnsi="Times New Roman" w:cs="Times New Roman"/>
          <w:color w:val="auto"/>
          <w:sz w:val="22"/>
          <w:szCs w:val="22"/>
        </w:rPr>
        <w:t>o</w:t>
      </w:r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>zásra</w:t>
      </w:r>
      <w:proofErr w:type="spellEnd"/>
      <w:r w:rsidRPr="0033457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vonatkozó határidő nem telt le. </w:t>
      </w:r>
    </w:p>
    <w:p w14:paraId="78F17B39" w14:textId="77777777" w:rsidR="00B45E21" w:rsidRDefault="00B45E21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244F6F31" w14:textId="77777777" w:rsidR="00B45E21" w:rsidRDefault="00B45E21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17B7CA01" w14:textId="63112899" w:rsidR="007A7B4F" w:rsidRPr="00B45E21" w:rsidRDefault="00C76933" w:rsidP="00C76933">
      <w:pPr>
        <w:jc w:val="both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 xml:space="preserve">Jogorvoslathoz való jog </w:t>
      </w:r>
    </w:p>
    <w:p w14:paraId="5FED1134" w14:textId="77777777" w:rsidR="007A7B4F" w:rsidRDefault="007A7B4F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</w:p>
    <w:p w14:paraId="68B008AF" w14:textId="77777777" w:rsidR="00000DD9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Ha az érintett úgy ítéli meg, hogy a</w:t>
      </w:r>
      <w:r w:rsidR="007A7B4F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z Adatkezelő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a személyes adatainak kezelése </w:t>
      </w:r>
      <w:r w:rsidR="007A7B4F">
        <w:rPr>
          <w:rFonts w:ascii="Times New Roman" w:eastAsia="Garamond" w:hAnsi="Times New Roman" w:cs="Times New Roman"/>
          <w:color w:val="auto"/>
          <w:sz w:val="22"/>
          <w:szCs w:val="22"/>
        </w:rPr>
        <w:t>s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orán megsértette a hatályos adatvédelmi követelményeket, akkor </w:t>
      </w:r>
    </w:p>
    <w:p w14:paraId="662D7872" w14:textId="77777777" w:rsidR="00000DD9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- panaszt nyújthat be a </w:t>
      </w: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 xml:space="preserve">Nemzeti Adatvédelmi és Információszabadság </w:t>
      </w:r>
      <w:proofErr w:type="gramStart"/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>Hatóság</w:t>
      </w:r>
      <w:r w:rsidR="007A7B4F" w:rsidRPr="00B45E21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>hoz</w:t>
      </w:r>
      <w:r w:rsidR="00000DD9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, 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cím</w:t>
      </w:r>
      <w:proofErr w:type="gramEnd"/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: 1055 Budapest, Falk Miksa utca 9-11., postacím: 1363 Budapest, Pf. 9. E-mail: ugyfelszolgalat@naih.hu, honlap: www.naih.hu, vagy</w:t>
      </w:r>
    </w:p>
    <w:p w14:paraId="6689ED31" w14:textId="444A01A2" w:rsidR="00C76933" w:rsidRPr="00C76933" w:rsidRDefault="00C76933" w:rsidP="00C76933">
      <w:pPr>
        <w:jc w:val="both"/>
        <w:rPr>
          <w:rFonts w:ascii="Times New Roman" w:eastAsia="Garamond" w:hAnsi="Times New Roman" w:cs="Times New Roman"/>
          <w:color w:val="auto"/>
          <w:sz w:val="22"/>
          <w:szCs w:val="22"/>
        </w:rPr>
      </w:pP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 xml:space="preserve"> - lehetősége van adatainak védelme érdekében </w:t>
      </w:r>
      <w:r w:rsidRPr="00C76933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>bírósághoz fordulni</w:t>
      </w:r>
      <w:r w:rsidRPr="00C76933">
        <w:rPr>
          <w:rFonts w:ascii="Times New Roman" w:eastAsia="Garamond" w:hAnsi="Times New Roman" w:cs="Times New Roman"/>
          <w:color w:val="auto"/>
          <w:sz w:val="22"/>
          <w:szCs w:val="22"/>
        </w:rPr>
        <w:t>, amely az ügyben soron kívül jár el. Ebben az esetben szabadon eldöntheti, hogy a lakóhelye (állandó lakcím) vagy a tartózkodási helye (ideiglenes lakcím), illetve a Hatóság székhelye szerint illetékes törvényszéknél nyújtja-e be keresetét. A lakóhelye vagy tartózkodási helye szerinti törvényszéket megkeresheti a http://birosag.hu/ugyfelkapcsolati-portal/birosag-kereso oldalon. A Hatóság székhelye szerint a perre a Fővárosi Törvényszék rendelkezik illetékességgel.</w:t>
      </w:r>
    </w:p>
    <w:bookmarkEnd w:id="4"/>
    <w:bookmarkEnd w:id="5"/>
    <w:sectPr w:rsidR="00C76933" w:rsidRPr="00C76933" w:rsidSect="00000DD9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D675" w14:textId="77777777" w:rsidR="0037448C" w:rsidRDefault="00C74252">
      <w:r>
        <w:separator/>
      </w:r>
    </w:p>
  </w:endnote>
  <w:endnote w:type="continuationSeparator" w:id="0">
    <w:p w14:paraId="3B67E80D" w14:textId="77777777" w:rsidR="0037448C" w:rsidRDefault="00C7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837C" w14:textId="77777777" w:rsidR="00620868" w:rsidRDefault="00620868"/>
  </w:footnote>
  <w:footnote w:type="continuationSeparator" w:id="0">
    <w:p w14:paraId="7E6BBAE7" w14:textId="77777777" w:rsidR="00620868" w:rsidRDefault="00620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6E5"/>
    <w:multiLevelType w:val="multilevel"/>
    <w:tmpl w:val="39FCC9D6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96DFF"/>
    <w:multiLevelType w:val="multilevel"/>
    <w:tmpl w:val="2ACAED8E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D016C"/>
    <w:multiLevelType w:val="multilevel"/>
    <w:tmpl w:val="7B4A2CC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C23EAB"/>
    <w:multiLevelType w:val="multilevel"/>
    <w:tmpl w:val="B2969DD6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5171453">
    <w:abstractNumId w:val="1"/>
  </w:num>
  <w:num w:numId="2" w16cid:durableId="1743680907">
    <w:abstractNumId w:val="0"/>
  </w:num>
  <w:num w:numId="3" w16cid:durableId="1027216195">
    <w:abstractNumId w:val="3"/>
  </w:num>
  <w:num w:numId="4" w16cid:durableId="43032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68"/>
    <w:rsid w:val="00000DD9"/>
    <w:rsid w:val="00071907"/>
    <w:rsid w:val="000B4332"/>
    <w:rsid w:val="00130F35"/>
    <w:rsid w:val="002243D7"/>
    <w:rsid w:val="003006D5"/>
    <w:rsid w:val="00334573"/>
    <w:rsid w:val="0037448C"/>
    <w:rsid w:val="00383D64"/>
    <w:rsid w:val="00512330"/>
    <w:rsid w:val="005570BB"/>
    <w:rsid w:val="005755F3"/>
    <w:rsid w:val="00620868"/>
    <w:rsid w:val="00686D9E"/>
    <w:rsid w:val="006D0D45"/>
    <w:rsid w:val="007A7B4F"/>
    <w:rsid w:val="0088635A"/>
    <w:rsid w:val="00893FC2"/>
    <w:rsid w:val="008A0E55"/>
    <w:rsid w:val="00A27C64"/>
    <w:rsid w:val="00AD38B7"/>
    <w:rsid w:val="00B0584A"/>
    <w:rsid w:val="00B35949"/>
    <w:rsid w:val="00B45E21"/>
    <w:rsid w:val="00B754DF"/>
    <w:rsid w:val="00BD25A9"/>
    <w:rsid w:val="00C25783"/>
    <w:rsid w:val="00C74252"/>
    <w:rsid w:val="00C76933"/>
    <w:rsid w:val="00D42D4B"/>
    <w:rsid w:val="00E91AE4"/>
    <w:rsid w:val="00EB6AFA"/>
    <w:rsid w:val="00F67859"/>
    <w:rsid w:val="00F82F15"/>
    <w:rsid w:val="00F954AC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C1EEF"/>
  <w15:docId w15:val="{AAA43DD7-C461-484B-851A-C545CB02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Egyb">
    <w:name w:val="Egyéb_"/>
    <w:basedOn w:val="Bekezdsalapbettpusa"/>
    <w:link w:val="Egyb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140" w:line="259" w:lineRule="auto"/>
    </w:pPr>
    <w:rPr>
      <w:rFonts w:ascii="Garamond" w:eastAsia="Garamond" w:hAnsi="Garamond" w:cs="Garamond"/>
      <w:sz w:val="22"/>
      <w:szCs w:val="22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70" w:line="257" w:lineRule="auto"/>
      <w:outlineLvl w:val="0"/>
    </w:pPr>
    <w:rPr>
      <w:rFonts w:ascii="Garamond" w:eastAsia="Garamond" w:hAnsi="Garamond" w:cs="Garamond"/>
      <w:b/>
      <w:bCs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</w:pPr>
    <w:rPr>
      <w:rFonts w:ascii="Garamond" w:eastAsia="Garamond" w:hAnsi="Garamond" w:cs="Garamond"/>
      <w:b/>
      <w:bCs/>
    </w:rPr>
  </w:style>
  <w:style w:type="paragraph" w:customStyle="1" w:styleId="Egyb0">
    <w:name w:val="Egyéb"/>
    <w:basedOn w:val="Norml"/>
    <w:link w:val="Egyb"/>
    <w:pPr>
      <w:shd w:val="clear" w:color="auto" w:fill="FFFFFF"/>
      <w:spacing w:after="140" w:line="259" w:lineRule="auto"/>
    </w:pPr>
    <w:rPr>
      <w:rFonts w:ascii="Garamond" w:eastAsia="Garamond" w:hAnsi="Garamond" w:cs="Garamond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2578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754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4DF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B754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54DF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9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9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jer@fej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AC7C-BD8A-4C75-9707-1BAB6FD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AdatvÃ©delmi tÃ¡jÃ©koztatÃ³_kitÃ¼ntetÃ©s_adomÃ¡nyozÃ¡sa_Miskolc VÃ¡ros Napja</vt:lpstr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AdatvÃ©delmi tÃ¡jÃ©koztatÃ³_kitÃ¼ntetÃ©s_adomÃ¡nyozÃ¡sa_Miskolc VÃ¡ros Napja</dc:title>
  <dc:subject/>
  <dc:creator>madacsi.imre</dc:creator>
  <cp:keywords/>
  <cp:lastModifiedBy>Hedlicskáné Dóczi Judit</cp:lastModifiedBy>
  <cp:revision>2</cp:revision>
  <cp:lastPrinted>2022-07-11T07:17:00Z</cp:lastPrinted>
  <dcterms:created xsi:type="dcterms:W3CDTF">2022-07-11T09:23:00Z</dcterms:created>
  <dcterms:modified xsi:type="dcterms:W3CDTF">2022-07-11T09:23:00Z</dcterms:modified>
</cp:coreProperties>
</file>